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61cb088991d426f"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54639</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 Dječji vrtić Štefek Štefanje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173.612,45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149.735,93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23.876,52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643,73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643,73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23.232,79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Prihodi poslovanja iznose 173.612,45 € i odnose se na prihode iz nadležnog proračuna za financiranje rashoda poslovanja korisnika, na prihod od sufinanciranja cijene usluge smještaja djece u vrtiću (učešće roditelja) te na državna sredstva koje od 2023. godine država na temelju Odluke Vlade RH isplaćuje jedinicama lokalne samouprave kao pomoć  za stabilno financiranje rada dječjeg vrtića.</w:t>
      </w:r>
    </w:p>
    <w:p>
      <w:r>
        <w:t xml:space="preserve">Rashodi poslovanja iznose 149.735,93 € i odnose se na rashode za zaposlene i materijalne rashod, dok se rashodi za nabavu nefinancijske imovine odnose na nabavu opreme potrebne za redovno poslovanje dječjeg vrtića.</w:t>
      </w:r>
    </w:p>
    <w:p>
      <w:r>
        <w:t xml:space="preserve">Rezultat poslovanja je višak prihoda od 23.232,79 €. Dječji vrtić se nalazi u sustavu riznice i sredstva dobivena od državnog proračuna za fiskalnu održivost vrtića se automatski kod knjiženja izvoda općine knjiže na konto 36721 prijenos proračunskim korisnicima iz nadležnog proračuna za finanaciranje rashoda poslovanja tj. na konto prihoda u vrtiću.</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Ostvareni prihod u iznosu 19.010,00 € odnosi se na prihod od sufinanciranja cijene smještaja u vrtiću.</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153.857,22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Ostvareni prihod sastoji se od 132.874,22 € iz nadležnog proračuna, te 20.983,00 € sredstava za fiskalnu održivost vrtića namjenjenog za financiranje rashoda poslovanja.</w:t>
      </w:r>
    </w:p>
    <w:p>
      <w:r>
        <w:t xml:space="preserv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643,73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 od 643,73 € odnosi se na sredstva iz nadležnog proračuna namijenjena za financiranje rashoda za nabavu nefinancijske imovine.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124.116,65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Rashodi u iznosu  124.116,65 € odnosi se na rashode za zaposlene u dječjem vrtiću (10 zaposlenica).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 od 900,00 € odnosi se na obračun prigodne nagrade (uskrsnice) za zaposlenike.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25.449,28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 u iznosu 25.449,28 € odnosi se na materijalne rashode vezane uz redovno funkcioniranje, poslovanje dječjeg vrtića (uredski materijal, namirnice, sitni invetar, tekuće održavanje objekta, zdravstvene usluge, ugovore o djelu, intelektualne usluge, usluge čišćenja i pranja - usluge pranja rublja).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756,43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 u iznosu 756,43 € se odnosi na premiju police osiguranja od nezgode za sve zaposlenike.</w:t>
      </w:r>
    </w:p>
    <w:p>
      <w:r>
        <w:t xml:space="preserve">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5.233,00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Nenaplaćeni prihodi poslovanja odnose se na obračun učešća roditelja - sufinanciranje cijene smještaja djece u vrtiću.</w:t>
      </w:r>
    </w:p>
    <w:p>
      <w:r>
        <w:t xml:space="preserve">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354,98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 se odnosi na nabavu uredske opreme.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 se odnosi na nabavu opreme za potrebe zaposlenika.</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 preneseni (šifre 92221+92222-92211-92212)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MP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20.295,96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Preneseni manjak prihoda od 20.295,96 €, koji se odnosi na trošak plaće i materijalne troškove za zaposlene za prosinac 2025. godine, podmiren je u siječnju 2026. godine.</w:t>
      </w:r>
    </w:p>
    <w:p>
      <w:r>
        <w:t xml:space="preserve">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raspoloživ u sljedećem razdoblju (šifre X005 + '9221-9222' - Y005 - '9222-9221')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2.936,83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Viškom prihoda u iznosu od 23.232,79 € pokriva se preneseni manjak prihoda od 20.295,96 €, koji se odnosi na trošak plaće i materijalne troškove za zaposlene za prosinac 2025. godine, tako da višak prihoda koji je raspoloživ u naredom razdoblju iznosi 2.936,83 €.</w:t>
      </w:r>
    </w:p>
    <w:p>
      <w:r>
        <w:t xml:space="preserve">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Dječji vrtić Štefek Štefanje u ovom izvještajnom razdoblju nema nepodmirenih dospjelih obveza.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22.397,73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rashode poslovanja odnose se na rashode za zaposlene u iznosu 21.569,93 € (plaća za lipanj) i na materijalne rashode u iznosu 827,80 €.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e8b5aa1db7484835" /></Relationships>
</file>